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2C0771" w:rsidRDefault="00382ECC" w:rsidP="00382ECC">
                <w:pPr>
                  <w:bidi w:val="0"/>
                  <w:jc w:val="right"/>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2914D6" w:rsidRDefault="002914D6">
            <w:pPr>
              <w:rPr>
                <w:rFonts w:ascii="Arial" w:hAnsi="Arial"/>
                <w:b/>
                <w:bCs/>
                <w:noProof w:val="0"/>
                <w:sz w:val="26"/>
                <w:szCs w:val="26"/>
              </w:rPr>
            </w:pPr>
          </w:p>
          <w:p w:rsidR="002914D6" w:rsidRDefault="00BD7EDB" w:rsidP="00382ECC">
            <w:pPr>
              <w:rPr>
                <w:b/>
                <w:bCs/>
                <w:noProof w:val="0"/>
                <w:sz w:val="26"/>
                <w:szCs w:val="26"/>
              </w:rPr>
            </w:pPr>
            <w:sdt>
              <w:sdtPr>
                <w:rPr>
                  <w:b/>
                  <w:bCs/>
                  <w:rtl/>
                </w:rPr>
                <w:alias w:val="1462"/>
                <w:tag w:val="1462"/>
                <w:id w:val="-236406021"/>
                <w:text w:multiLine="1"/>
              </w:sdtPr>
              <w:sdtEndPr/>
              <w:sdtContent>
                <w:r w:rsidR="00382ECC" w:rsidRPr="00382ECC">
                  <w:rPr>
                    <w:rFonts w:ascii="Arial" w:hAnsi="Arial" w:hint="cs"/>
                    <w:b/>
                    <w:bCs/>
                    <w:noProof w:val="0"/>
                    <w:sz w:val="26"/>
                    <w:szCs w:val="26"/>
                    <w:rtl/>
                  </w:rPr>
                  <w:t>האם</w:t>
                </w:r>
                <w:r w:rsidR="00382ECC" w:rsidRPr="00382ECC">
                  <w:rPr>
                    <w:rFonts w:ascii="Arial" w:hAnsi="Arial"/>
                    <w:b/>
                    <w:bCs/>
                    <w:noProof w:val="0"/>
                    <w:sz w:val="26"/>
                    <w:szCs w:val="26"/>
                    <w:rtl/>
                  </w:rPr>
                  <w:br/>
                </w:r>
                <w:r w:rsidR="00382ECC">
                  <w:rPr>
                    <w:rFonts w:hint="cs"/>
                    <w:b/>
                    <w:bCs/>
                    <w:rtl/>
                  </w:rPr>
                  <w:t>על ידי ב"כ עו"ד ריקי אופק אבן צור</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BD7EDB">
            <w:pPr>
              <w:rPr>
                <w:rFonts w:ascii="Arial" w:hAnsi="Arial"/>
                <w:b/>
                <w:bCs/>
                <w:noProof w:val="0"/>
                <w:sz w:val="26"/>
                <w:szCs w:val="26"/>
              </w:rPr>
            </w:pPr>
            <w:sdt>
              <w:sdtPr>
                <w:rPr>
                  <w:rtl/>
                </w:rPr>
                <w:alias w:val="1184"/>
                <w:tag w:val="1184"/>
                <w:id w:val="385841288"/>
                <w:text w:multiLine="1"/>
              </w:sdtPr>
              <w:sdtEndPr/>
              <w:sdtContent>
                <w:r w:rsidR="00382ECC">
                  <w:rPr>
                    <w:rFonts w:ascii="Arial" w:hAnsi="Arial" w:hint="cs"/>
                    <w:b/>
                    <w:bCs/>
                    <w:noProof w:val="0"/>
                    <w:sz w:val="26"/>
                    <w:szCs w:val="26"/>
                    <w:rtl/>
                  </w:rPr>
                  <w:t>המשיב</w:t>
                </w:r>
              </w:sdtContent>
            </w:sdt>
          </w:p>
        </w:tc>
        <w:tc>
          <w:tcPr>
            <w:tcW w:w="5571" w:type="dxa"/>
          </w:tcPr>
          <w:p w:rsidR="002914D6" w:rsidRDefault="002914D6">
            <w:pPr>
              <w:rPr>
                <w:rFonts w:ascii="Arial" w:hAnsi="Arial"/>
                <w:b/>
                <w:bCs/>
                <w:noProof w:val="0"/>
                <w:sz w:val="26"/>
                <w:szCs w:val="26"/>
                <w:rtl/>
              </w:rPr>
            </w:pPr>
          </w:p>
          <w:p w:rsidR="002914D6" w:rsidRDefault="00BD7EDB" w:rsidP="00382ECC">
            <w:pPr>
              <w:rPr>
                <w:b/>
                <w:bCs/>
                <w:noProof w:val="0"/>
                <w:sz w:val="26"/>
                <w:szCs w:val="26"/>
                <w:rtl/>
              </w:rPr>
            </w:pPr>
            <w:sdt>
              <w:sdtPr>
                <w:rPr>
                  <w:b/>
                  <w:bCs/>
                  <w:rtl/>
                </w:rPr>
                <w:alias w:val="1571"/>
                <w:tag w:val="1571"/>
                <w:id w:val="1119420712"/>
                <w:text w:multiLine="1"/>
              </w:sdtPr>
              <w:sdtEndPr/>
              <w:sdtContent>
                <w:r w:rsidR="00382ECC" w:rsidRPr="00382ECC">
                  <w:rPr>
                    <w:rFonts w:ascii="Arial" w:hAnsi="Arial" w:hint="cs"/>
                    <w:b/>
                    <w:bCs/>
                    <w:noProof w:val="0"/>
                    <w:sz w:val="26"/>
                    <w:szCs w:val="26"/>
                    <w:rtl/>
                  </w:rPr>
                  <w:t>האב</w:t>
                </w:r>
                <w:r w:rsidR="00382ECC" w:rsidRPr="00382ECC">
                  <w:rPr>
                    <w:rFonts w:ascii="Arial" w:hAnsi="Arial"/>
                    <w:b/>
                    <w:bCs/>
                    <w:noProof w:val="0"/>
                    <w:sz w:val="26"/>
                    <w:szCs w:val="26"/>
                    <w:rtl/>
                  </w:rPr>
                  <w:br/>
                </w:r>
                <w:r w:rsidR="00382ECC" w:rsidRPr="00382ECC">
                  <w:rPr>
                    <w:rFonts w:hint="cs"/>
                    <w:b/>
                    <w:bCs/>
                    <w:rtl/>
                  </w:rPr>
                  <w:t>על ידי ב"כ עו"ד שירה דרורי סאלם</w:t>
                </w:r>
              </w:sdtContent>
            </w:sdt>
          </w:p>
        </w:tc>
      </w:tr>
      <w:tr w:rsidR="00DA714E" w:rsidTr="00020144">
        <w:tc>
          <w:tcPr>
            <w:tcW w:w="8820" w:type="dxa"/>
            <w:gridSpan w:val="3"/>
          </w:tcPr>
          <w:p w:rsidR="002C0771" w:rsidRDefault="002C0771">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D51B50" w:rsidRDefault="00D51B50" w:rsidP="00D51B50">
      <w:pPr>
        <w:pStyle w:val="ae"/>
        <w:numPr>
          <w:ilvl w:val="0"/>
          <w:numId w:val="1"/>
        </w:numPr>
        <w:spacing w:line="360" w:lineRule="auto"/>
        <w:jc w:val="both"/>
        <w:rPr>
          <w:rFonts w:ascii="David" w:hAnsi="David" w:cs="David"/>
          <w:sz w:val="24"/>
          <w:szCs w:val="24"/>
        </w:rPr>
      </w:pPr>
      <w:r>
        <w:rPr>
          <w:rFonts w:ascii="David" w:hAnsi="David" w:cs="David"/>
          <w:sz w:val="24"/>
          <w:szCs w:val="24"/>
          <w:rtl/>
        </w:rPr>
        <w:t>לאחר עיון בבקשת האם שהוגשה ביום 14.11.24 לפי פקודת בזיון בית המשפט בטענה להפרות של ההחלטות מיום 27.6.24 ומיום 5.9.24, ובתגובת האב שהוגשה היום מצאתי לדחות את הבקשה.</w:t>
      </w:r>
    </w:p>
    <w:p w:rsidR="00D51B50" w:rsidRDefault="00D51B50" w:rsidP="00D51B50">
      <w:pPr>
        <w:pStyle w:val="ae"/>
        <w:spacing w:line="360" w:lineRule="auto"/>
        <w:jc w:val="both"/>
        <w:rPr>
          <w:rFonts w:ascii="David" w:hAnsi="David" w:cs="David"/>
          <w:sz w:val="24"/>
          <w:szCs w:val="24"/>
        </w:rPr>
      </w:pPr>
    </w:p>
    <w:p w:rsidR="00D51B50" w:rsidRDefault="00D51B50" w:rsidP="00D51B50">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עניינן של ההחלטות נושא הבקשה הוא בחיוב האב לשלם לאם מחצית מקצבאות ילד נכה שמשולמות עבור שלושת הקטינים, ילדי הצדדים, וכי כל הוראות הקבע בחשבון יוותרו בעינן וכך גם חיוב החזר </w:t>
      </w:r>
      <w:proofErr w:type="spellStart"/>
      <w:r>
        <w:rPr>
          <w:rFonts w:ascii="David" w:hAnsi="David" w:cs="David"/>
          <w:sz w:val="24"/>
          <w:szCs w:val="24"/>
          <w:rtl/>
        </w:rPr>
        <w:t>המשכנתה</w:t>
      </w:r>
      <w:proofErr w:type="spellEnd"/>
      <w:r>
        <w:rPr>
          <w:rFonts w:ascii="David" w:hAnsi="David" w:cs="David"/>
          <w:sz w:val="24"/>
          <w:szCs w:val="24"/>
          <w:rtl/>
        </w:rPr>
        <w:t xml:space="preserve">. </w:t>
      </w:r>
      <w:r>
        <w:rPr>
          <w:rFonts w:ascii="David" w:hAnsi="David" w:cs="David" w:hint="cs"/>
          <w:sz w:val="24"/>
          <w:szCs w:val="24"/>
          <w:rtl/>
        </w:rPr>
        <w:t>ציטוט מלא של ההחלטה מיום 27.6.24 שניתנה בתיק ישוב סכסוך מצוטטת בהחלטה למזונות זמניים שניתנה היום.</w:t>
      </w:r>
    </w:p>
    <w:p w:rsidR="00D51B50" w:rsidRPr="00D51B50" w:rsidRDefault="00D51B50" w:rsidP="00D51B50">
      <w:pPr>
        <w:pStyle w:val="ae"/>
        <w:spacing w:line="360" w:lineRule="auto"/>
        <w:jc w:val="both"/>
        <w:rPr>
          <w:rFonts w:ascii="David" w:hAnsi="David" w:cs="David"/>
          <w:sz w:val="24"/>
          <w:szCs w:val="24"/>
        </w:rPr>
      </w:pPr>
    </w:p>
    <w:p w:rsidR="00D51B50" w:rsidRDefault="00D51B50" w:rsidP="00D51B5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האם טוענת כי האב הפר את ההחלטות בכך שעשה שימוש בקצבאות ילד נכה לצרכי כיסוי הוראות הקבע מהחשבון והחזר הלוואת </w:t>
      </w:r>
      <w:proofErr w:type="spellStart"/>
      <w:r>
        <w:rPr>
          <w:rFonts w:ascii="David" w:hAnsi="David" w:cs="David"/>
          <w:sz w:val="24"/>
          <w:szCs w:val="24"/>
          <w:rtl/>
        </w:rPr>
        <w:t>המשכנתה</w:t>
      </w:r>
      <w:proofErr w:type="spellEnd"/>
      <w:r>
        <w:rPr>
          <w:rFonts w:ascii="David" w:hAnsi="David" w:cs="David"/>
          <w:sz w:val="24"/>
          <w:szCs w:val="24"/>
          <w:rtl/>
        </w:rPr>
        <w:t xml:space="preserve"> ולא לצרכי הקטינים.</w:t>
      </w:r>
    </w:p>
    <w:p w:rsidR="00D51B50" w:rsidRDefault="00D51B50" w:rsidP="00D51B50">
      <w:pPr>
        <w:pStyle w:val="ae"/>
        <w:spacing w:line="360" w:lineRule="auto"/>
        <w:jc w:val="both"/>
        <w:rPr>
          <w:rFonts w:ascii="David" w:hAnsi="David" w:cs="David"/>
          <w:sz w:val="24"/>
          <w:szCs w:val="24"/>
          <w:rtl/>
        </w:rPr>
      </w:pPr>
    </w:p>
    <w:p w:rsidR="00D51B50" w:rsidRDefault="00D51B50" w:rsidP="00D51B50">
      <w:pPr>
        <w:pStyle w:val="ae"/>
        <w:numPr>
          <w:ilvl w:val="0"/>
          <w:numId w:val="1"/>
        </w:numPr>
        <w:spacing w:line="360" w:lineRule="auto"/>
        <w:jc w:val="both"/>
        <w:rPr>
          <w:rFonts w:ascii="David" w:hAnsi="David" w:cs="David"/>
          <w:sz w:val="24"/>
          <w:szCs w:val="24"/>
        </w:rPr>
      </w:pPr>
      <w:r>
        <w:rPr>
          <w:rFonts w:ascii="David" w:hAnsi="David" w:cs="David"/>
          <w:sz w:val="24"/>
          <w:szCs w:val="24"/>
          <w:rtl/>
        </w:rPr>
        <w:t>האב בתגובתו טוען כי מדובר בבקשת סרק. האב לטענתו עשה שימוש בקצבאות עבור צרכי הילדים והמשפחה ודווקא הוא זה שנשא במרבית הוצאות הקטינים. בניגוד לנטען על ידי האם, על שני הצדדים לשאת בהוראות הקבע ולא רק על האם. היות וסך הקצבאות עומד על 15,557 ש"</w:t>
      </w:r>
      <w:r>
        <w:rPr>
          <w:rFonts w:ascii="David" w:hAnsi="David" w:cs="David" w:hint="cs"/>
          <w:sz w:val="24"/>
          <w:szCs w:val="24"/>
          <w:rtl/>
        </w:rPr>
        <w:t>ח</w:t>
      </w:r>
      <w:r>
        <w:rPr>
          <w:rFonts w:ascii="David" w:hAnsi="David" w:cs="David"/>
          <w:sz w:val="24"/>
          <w:szCs w:val="24"/>
          <w:rtl/>
        </w:rPr>
        <w:t xml:space="preserve"> וכל אחד מהצדדים זכאי למחצית והיות והוראות הקבע מסתמכות לסך של 3,000 ₪ הר</w:t>
      </w:r>
      <w:r w:rsidR="00382ECC">
        <w:rPr>
          <w:rFonts w:ascii="David" w:hAnsi="David" w:cs="David"/>
          <w:sz w:val="24"/>
          <w:szCs w:val="24"/>
          <w:rtl/>
        </w:rPr>
        <w:t xml:space="preserve">י שאין מניעה שכל צד ישלם מחצית </w:t>
      </w:r>
      <w:r>
        <w:rPr>
          <w:rFonts w:ascii="David" w:hAnsi="David" w:cs="David"/>
          <w:sz w:val="24"/>
          <w:szCs w:val="24"/>
          <w:rtl/>
        </w:rPr>
        <w:t>מ</w:t>
      </w:r>
      <w:r w:rsidR="00382ECC">
        <w:rPr>
          <w:rFonts w:ascii="David" w:hAnsi="David" w:cs="David" w:hint="cs"/>
          <w:sz w:val="24"/>
          <w:szCs w:val="24"/>
          <w:rtl/>
        </w:rPr>
        <w:t>ה</w:t>
      </w:r>
      <w:r>
        <w:rPr>
          <w:rFonts w:ascii="David" w:hAnsi="David" w:cs="David"/>
          <w:sz w:val="24"/>
          <w:szCs w:val="24"/>
          <w:rtl/>
        </w:rPr>
        <w:t xml:space="preserve">וראות הקבע ועדיין יוותר עם יתרה מהקצבאות. החזר </w:t>
      </w:r>
      <w:proofErr w:type="spellStart"/>
      <w:r>
        <w:rPr>
          <w:rFonts w:ascii="David" w:hAnsi="David" w:cs="David"/>
          <w:sz w:val="24"/>
          <w:szCs w:val="24"/>
          <w:rtl/>
        </w:rPr>
        <w:t>המשכנתה</w:t>
      </w:r>
      <w:proofErr w:type="spellEnd"/>
      <w:r>
        <w:rPr>
          <w:rFonts w:ascii="David" w:hAnsi="David" w:cs="David"/>
          <w:sz w:val="24"/>
          <w:szCs w:val="24"/>
          <w:rtl/>
        </w:rPr>
        <w:t xml:space="preserve"> הוא הוצאה הונית משותפת שעל שני הצדדים לשאת בה בשווה. עם זאת, האב מוכן לשלם את מלוא החזר המשכנתא החודשי עד לפירוק השיתוף וחלוקת </w:t>
      </w:r>
      <w:r>
        <w:rPr>
          <w:rFonts w:ascii="David" w:hAnsi="David" w:cs="David"/>
          <w:sz w:val="24"/>
          <w:szCs w:val="24"/>
          <w:rtl/>
        </w:rPr>
        <w:lastRenderedPageBreak/>
        <w:t>התמורה בכפוף לכך שחלקה של האם בהחזרים (מחזית) יקוזז מחלקה בתמורה עבור הבית. האב טוען כי דווקא האם היא זו שהפרה החלטות שונות. עוד טוען האב כי האם דאגה בערמה כי קצבת הבת רינה תועבר לחשבון לא ידוע שלה</w:t>
      </w:r>
    </w:p>
    <w:p w:rsidR="00D51B50" w:rsidRDefault="00D51B50" w:rsidP="00D51B50">
      <w:pPr>
        <w:pStyle w:val="ae"/>
        <w:spacing w:line="360" w:lineRule="auto"/>
        <w:jc w:val="both"/>
        <w:rPr>
          <w:rFonts w:ascii="David" w:hAnsi="David" w:cs="David"/>
          <w:sz w:val="24"/>
          <w:szCs w:val="24"/>
        </w:rPr>
      </w:pPr>
    </w:p>
    <w:p w:rsidR="00D51B50" w:rsidRDefault="00D51B50" w:rsidP="00D51B50">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הליך פי סעיף 6 לפקודה, המסמיך את בית המשפט </w:t>
      </w:r>
      <w:proofErr w:type="spellStart"/>
      <w:r>
        <w:rPr>
          <w:rFonts w:ascii="David" w:eastAsia="Times New Roman" w:hAnsi="David" w:cs="David"/>
          <w:sz w:val="24"/>
          <w:szCs w:val="24"/>
          <w:rtl/>
        </w:rPr>
        <w:t>לכוף</w:t>
      </w:r>
      <w:proofErr w:type="spellEnd"/>
      <w:r>
        <w:rPr>
          <w:rFonts w:ascii="David" w:eastAsia="Times New Roman" w:hAnsi="David" w:cs="David"/>
          <w:sz w:val="24"/>
          <w:szCs w:val="24"/>
          <w:rtl/>
        </w:rPr>
        <w:t xml:space="preserve"> אדם בקנס או במאסר לציית לצו שניתן על ידיו, נושא אופי מיוחד, באשר הוא אינו מטיל אחריות פלילית, אך הוא גם אינו הליך אזרחי "טהור". ההליך אינו עונשי במהותו, ומטרתו העיקרית להביא לאכיפת ההחלטה השיפוטית במבט צופה עתיד. הליך הביזיון הוא הליך אכיפה קיצוני, שמקובל לראות בו הליך שיורי, לאחר שההליכים האחרים האפשריים נבחנו או מוצו. אין להיזקק לו כאשר קיימת דרך אחרת לביצוע ההוראה השיפוטית. כלל זה משמעו, כי כאשר קיימת אפשרות בחירה בין כמה דרכים חלופיות לאכיפתה של הוראת בית המשפט, יש לנסות קודם את הדרך הקשה פחות לחייב, ורק אם יתברר שדרך זו אינה יעילה להשגת המטרה, יהיה ניתן להיעזר בדרך המכבידה עמו יותר. אין להידרש למנגנון האכיפה על-פי סעיף 6 לפקודה אם דבר ההפרה הושלם ואינו ניתן לתיקון. המטרה היא להביא לקיום הצו השיפוטי, וזו תוגשם רק אם יש בידי המבזה הכוח לתקן את ההפרה או לחזור בו ממנה. כמו כן אין אוכפים מכוח הפקודה אלא צווים והחלטות שמובנם ברור ושאינם מאפשרים יותר מפירוש אחד. עם זאת השאיפה למנוע פגיעה במפר הצו השיפוטי והאפשרות לנקוט אמצעים קלים יותר אינן חזות הכול, ואין באלה לבדן כדי להכריע את הכף שלא לנקוט הליך לפי הפקודה. יש לשקול גם את שיקול הצדק, דהיינו: אילו צעדים יהוו דרך אכיפה ראויה, מתאימה וצודקת, אשר תביא בחשבון הן את עניינו של המפר הן את עניינו של הנפגע המבקש לאכוף את פסק-הדין (ראו: ע"פ 5177/03 </w:t>
      </w:r>
      <w:r>
        <w:rPr>
          <w:rFonts w:ascii="David" w:eastAsia="Times New Roman" w:hAnsi="David" w:cs="David"/>
          <w:b/>
          <w:bCs/>
          <w:sz w:val="24"/>
          <w:szCs w:val="24"/>
          <w:rtl/>
        </w:rPr>
        <w:t xml:space="preserve">מור נ' </w:t>
      </w:r>
      <w:proofErr w:type="spellStart"/>
      <w:r>
        <w:rPr>
          <w:rFonts w:ascii="David" w:eastAsia="Times New Roman" w:hAnsi="David" w:cs="David"/>
          <w:b/>
          <w:bCs/>
          <w:sz w:val="24"/>
          <w:szCs w:val="24"/>
          <w:rtl/>
        </w:rPr>
        <w:t>דנציגר</w:t>
      </w:r>
      <w:proofErr w:type="spellEnd"/>
      <w:r>
        <w:rPr>
          <w:rFonts w:ascii="David" w:eastAsia="Times New Roman" w:hAnsi="David" w:cs="David"/>
          <w:sz w:val="24"/>
          <w:szCs w:val="24"/>
          <w:rtl/>
        </w:rPr>
        <w:t xml:space="preserve"> ואח', פ"ד נח(4) 184; רע"א 3888/04 </w:t>
      </w:r>
      <w:r>
        <w:rPr>
          <w:rFonts w:ascii="David" w:eastAsia="Times New Roman" w:hAnsi="David" w:cs="David"/>
          <w:b/>
          <w:bCs/>
          <w:sz w:val="24"/>
          <w:szCs w:val="24"/>
          <w:rtl/>
        </w:rPr>
        <w:t>שרבט נ' שרבט</w:t>
      </w:r>
      <w:r>
        <w:rPr>
          <w:rFonts w:ascii="David" w:eastAsia="Times New Roman" w:hAnsi="David" w:cs="David"/>
          <w:sz w:val="24"/>
          <w:szCs w:val="24"/>
          <w:rtl/>
        </w:rPr>
        <w:t xml:space="preserve">, פ"ד נט(4) 49; ע"פ 7174/09 </w:t>
      </w:r>
      <w:proofErr w:type="spellStart"/>
      <w:r>
        <w:rPr>
          <w:rFonts w:ascii="David" w:eastAsia="Times New Roman" w:hAnsi="David" w:cs="David"/>
          <w:b/>
          <w:bCs/>
          <w:sz w:val="24"/>
          <w:szCs w:val="24"/>
          <w:rtl/>
        </w:rPr>
        <w:t>רייפמן</w:t>
      </w:r>
      <w:proofErr w:type="spellEnd"/>
      <w:r>
        <w:rPr>
          <w:rFonts w:ascii="David" w:eastAsia="Times New Roman" w:hAnsi="David" w:cs="David"/>
          <w:b/>
          <w:bCs/>
          <w:sz w:val="24"/>
          <w:szCs w:val="24"/>
          <w:rtl/>
        </w:rPr>
        <w:t xml:space="preserve"> נ' ארז ואח'</w:t>
      </w:r>
      <w:r>
        <w:rPr>
          <w:rFonts w:ascii="David" w:eastAsia="Times New Roman" w:hAnsi="David" w:cs="David"/>
          <w:sz w:val="24"/>
          <w:szCs w:val="24"/>
          <w:rtl/>
        </w:rPr>
        <w:t xml:space="preserve"> (2009). </w:t>
      </w:r>
    </w:p>
    <w:p w:rsidR="00D51B50" w:rsidRDefault="00D51B50" w:rsidP="00D51B50">
      <w:pPr>
        <w:pStyle w:val="ae"/>
        <w:spacing w:line="360" w:lineRule="auto"/>
        <w:jc w:val="both"/>
        <w:rPr>
          <w:rFonts w:ascii="David" w:eastAsia="Times New Roman" w:hAnsi="David" w:cs="David"/>
          <w:sz w:val="24"/>
          <w:szCs w:val="24"/>
          <w:rtl/>
        </w:rPr>
      </w:pPr>
    </w:p>
    <w:p w:rsidR="00D51B50" w:rsidRDefault="00D51B50" w:rsidP="00D51B50">
      <w:pPr>
        <w:pStyle w:val="ae"/>
        <w:numPr>
          <w:ilvl w:val="0"/>
          <w:numId w:val="1"/>
        </w:numPr>
        <w:spacing w:line="360" w:lineRule="auto"/>
        <w:jc w:val="both"/>
        <w:rPr>
          <w:rFonts w:ascii="David" w:eastAsia="Times New Roman" w:hAnsi="David" w:cs="David"/>
          <w:sz w:val="24"/>
          <w:szCs w:val="24"/>
        </w:rPr>
      </w:pPr>
      <w:r>
        <w:rPr>
          <w:rFonts w:ascii="David" w:eastAsia="Times New Roman" w:hAnsi="David" w:cs="David" w:hint="cs"/>
          <w:sz w:val="24"/>
          <w:szCs w:val="24"/>
          <w:rtl/>
        </w:rPr>
        <w:t xml:space="preserve">במקרה דנן, ההחלטה מיום 27.6.24 לא קבעה כי הוראות הקבע ישולמו על ידי האב לבדו דווקא אלא נקבע כי הן תיוותרנה בעינן ותרדנה מהחשבון המשותף. ברם, ככל והאם סבורה שההחלטה קובעת אחרת, והיא ברורה, </w:t>
      </w:r>
      <w:r>
        <w:rPr>
          <w:rFonts w:ascii="David" w:eastAsia="Times New Roman" w:hAnsi="David" w:cs="David"/>
          <w:sz w:val="24"/>
          <w:szCs w:val="24"/>
          <w:rtl/>
        </w:rPr>
        <w:t xml:space="preserve">וככל </w:t>
      </w:r>
      <w:proofErr w:type="spellStart"/>
      <w:r>
        <w:rPr>
          <w:rFonts w:ascii="David" w:eastAsia="Times New Roman" w:hAnsi="David" w:cs="David"/>
          <w:sz w:val="24"/>
          <w:szCs w:val="24"/>
          <w:rtl/>
        </w:rPr>
        <w:t>והיתה</w:t>
      </w:r>
      <w:proofErr w:type="spellEnd"/>
      <w:r>
        <w:rPr>
          <w:rFonts w:ascii="David" w:eastAsia="Times New Roman" w:hAnsi="David" w:cs="David"/>
          <w:sz w:val="24"/>
          <w:szCs w:val="24"/>
          <w:rtl/>
        </w:rPr>
        <w:t xml:space="preserve"> הפרה</w:t>
      </w:r>
      <w:r>
        <w:rPr>
          <w:rFonts w:ascii="David" w:eastAsia="Times New Roman" w:hAnsi="David" w:cs="David" w:hint="cs"/>
          <w:sz w:val="24"/>
          <w:szCs w:val="24"/>
          <w:rtl/>
        </w:rPr>
        <w:t>, הרי</w:t>
      </w:r>
      <w:r>
        <w:rPr>
          <w:rFonts w:ascii="David" w:eastAsia="Times New Roman" w:hAnsi="David" w:cs="David"/>
          <w:sz w:val="24"/>
          <w:szCs w:val="24"/>
          <w:rtl/>
        </w:rPr>
        <w:t xml:space="preserve"> </w:t>
      </w:r>
      <w:r>
        <w:rPr>
          <w:rFonts w:ascii="David" w:eastAsia="Times New Roman" w:hAnsi="David" w:cs="David" w:hint="cs"/>
          <w:sz w:val="24"/>
          <w:szCs w:val="24"/>
          <w:rtl/>
        </w:rPr>
        <w:t>ש</w:t>
      </w:r>
      <w:r>
        <w:rPr>
          <w:rFonts w:ascii="David" w:eastAsia="Times New Roman" w:hAnsi="David" w:cs="David"/>
          <w:sz w:val="24"/>
          <w:szCs w:val="24"/>
          <w:rtl/>
        </w:rPr>
        <w:t xml:space="preserve">עומד למבקשת מסלול </w:t>
      </w:r>
      <w:proofErr w:type="spellStart"/>
      <w:r>
        <w:rPr>
          <w:rFonts w:ascii="David" w:eastAsia="Times New Roman" w:hAnsi="David" w:cs="David"/>
          <w:sz w:val="24"/>
          <w:szCs w:val="24"/>
          <w:rtl/>
        </w:rPr>
        <w:t>יעודי</w:t>
      </w:r>
      <w:proofErr w:type="spellEnd"/>
      <w:r>
        <w:rPr>
          <w:rFonts w:ascii="David" w:eastAsia="Times New Roman" w:hAnsi="David" w:cs="David"/>
          <w:sz w:val="24"/>
          <w:szCs w:val="24"/>
          <w:rtl/>
        </w:rPr>
        <w:t xml:space="preserve"> להעלאת טענותיו והוא ההליך בפני רשם ההוצאה לפועל. כפי שנקבע ב</w:t>
      </w:r>
      <w:r>
        <w:rPr>
          <w:rFonts w:ascii="David" w:hAnsi="David" w:cs="David"/>
          <w:sz w:val="24"/>
          <w:szCs w:val="24"/>
          <w:rtl/>
        </w:rPr>
        <w:t xml:space="preserve"> </w:t>
      </w:r>
      <w:sdt>
        <w:sdtPr>
          <w:rPr>
            <w:rFonts w:ascii="David" w:hAnsi="David" w:cs="David"/>
            <w:b/>
            <w:bCs/>
            <w:sz w:val="24"/>
            <w:szCs w:val="24"/>
            <w:rtl/>
          </w:rPr>
          <w:alias w:val="1170"/>
          <w:tag w:val="1170"/>
          <w:id w:val="1066377040"/>
          <w:text w:multiLine="1"/>
        </w:sdtPr>
        <w:sdtEndPr/>
        <w:sdtContent>
          <w:proofErr w:type="spellStart"/>
          <w:r>
            <w:rPr>
              <w:rFonts w:ascii="David" w:hAnsi="David" w:cs="David"/>
              <w:b/>
              <w:bCs/>
              <w:sz w:val="24"/>
              <w:szCs w:val="24"/>
              <w:rtl/>
            </w:rPr>
            <w:t>רמ"ש</w:t>
          </w:r>
          <w:proofErr w:type="spellEnd"/>
        </w:sdtContent>
      </w:sdt>
      <w:r>
        <w:rPr>
          <w:rFonts w:ascii="David" w:hAnsi="David" w:cs="David"/>
          <w:b/>
          <w:bCs/>
          <w:sz w:val="24"/>
          <w:szCs w:val="24"/>
          <w:rtl/>
        </w:rPr>
        <w:t xml:space="preserve"> </w:t>
      </w:r>
      <w:sdt>
        <w:sdtPr>
          <w:rPr>
            <w:rFonts w:ascii="David" w:hAnsi="David" w:cs="David"/>
            <w:b/>
            <w:bCs/>
            <w:sz w:val="24"/>
            <w:szCs w:val="24"/>
            <w:rtl/>
          </w:rPr>
          <w:alias w:val="1171"/>
          <w:tag w:val="1171"/>
          <w:id w:val="257034231"/>
          <w:text w:multiLine="1"/>
        </w:sdtPr>
        <w:sdtEndPr/>
        <w:sdtContent>
          <w:r>
            <w:rPr>
              <w:rFonts w:ascii="David" w:hAnsi="David" w:cs="David"/>
              <w:b/>
              <w:bCs/>
              <w:sz w:val="24"/>
              <w:szCs w:val="24"/>
              <w:rtl/>
            </w:rPr>
            <w:t>34913-10-22</w:t>
          </w:r>
        </w:sdtContent>
      </w:sdt>
      <w:r>
        <w:rPr>
          <w:rFonts w:ascii="David" w:hAnsi="David" w:cs="David"/>
          <w:b/>
          <w:bCs/>
          <w:sz w:val="24"/>
          <w:szCs w:val="24"/>
          <w:rtl/>
        </w:rPr>
        <w:t xml:space="preserve"> </w:t>
      </w:r>
      <w:sdt>
        <w:sdtPr>
          <w:rPr>
            <w:rFonts w:ascii="David" w:hAnsi="David" w:cs="David"/>
            <w:b/>
            <w:bCs/>
            <w:sz w:val="24"/>
            <w:szCs w:val="24"/>
            <w:rtl/>
          </w:rPr>
          <w:alias w:val="3154"/>
          <w:tag w:val="3154"/>
          <w:id w:val="-1285889662"/>
          <w:placeholder>
            <w:docPart w:val="90AB1660505A44A98F67D1E2564D71C7"/>
          </w:placeholder>
          <w:text w:multiLine="1"/>
        </w:sdtPr>
        <w:sdtEndPr/>
        <w:sdtContent>
          <w:r>
            <w:rPr>
              <w:rFonts w:ascii="David" w:hAnsi="David" w:cs="David"/>
              <w:b/>
              <w:bCs/>
              <w:sz w:val="24"/>
              <w:szCs w:val="24"/>
              <w:rtl/>
            </w:rPr>
            <w:t>ע' נ' ע'</w:t>
          </w:r>
        </w:sdtContent>
      </w:sdt>
      <w:r>
        <w:rPr>
          <w:rFonts w:ascii="David" w:hAnsi="David" w:cs="David"/>
          <w:b/>
          <w:bCs/>
          <w:sz w:val="24"/>
          <w:szCs w:val="24"/>
          <w:rtl/>
        </w:rPr>
        <w:t xml:space="preserve"> </w:t>
      </w:r>
      <w:r>
        <w:rPr>
          <w:rFonts w:ascii="David" w:hAnsi="David" w:cs="David"/>
          <w:sz w:val="24"/>
          <w:szCs w:val="24"/>
          <w:rtl/>
        </w:rPr>
        <w:t>, ניתן ביום</w:t>
      </w:r>
      <w:r>
        <w:rPr>
          <w:rFonts w:ascii="David" w:hAnsi="David" w:cs="David"/>
          <w:b/>
          <w:bCs/>
          <w:sz w:val="24"/>
          <w:szCs w:val="24"/>
          <w:rtl/>
        </w:rPr>
        <w:t xml:space="preserve"> </w:t>
      </w:r>
      <w:r>
        <w:rPr>
          <w:rFonts w:ascii="David" w:eastAsia="Times New Roman" w:hAnsi="David" w:cs="David"/>
          <w:sz w:val="24"/>
          <w:szCs w:val="24"/>
          <w:rtl/>
        </w:rPr>
        <w:t xml:space="preserve">15.12.22: </w:t>
      </w:r>
      <w:r>
        <w:rPr>
          <w:rFonts w:ascii="David" w:hAnsi="David" w:cs="David"/>
          <w:sz w:val="24"/>
          <w:szCs w:val="24"/>
          <w:rtl/>
        </w:rPr>
        <w:t xml:space="preserve">טוענת המשיבה </w:t>
      </w:r>
      <w:proofErr w:type="spellStart"/>
      <w:r>
        <w:rPr>
          <w:rFonts w:ascii="David" w:hAnsi="David" w:cs="David"/>
          <w:sz w:val="24"/>
          <w:szCs w:val="24"/>
          <w:rtl/>
        </w:rPr>
        <w:t>לבזיון</w:t>
      </w:r>
      <w:proofErr w:type="spellEnd"/>
      <w:r>
        <w:rPr>
          <w:rFonts w:ascii="David" w:hAnsi="David" w:cs="David"/>
          <w:sz w:val="24"/>
          <w:szCs w:val="24"/>
          <w:rtl/>
        </w:rPr>
        <w:t xml:space="preserve"> בגין אי תשלום מזונות הקטינה – ככל שיש למשיבה טענות בדבר אי תשלום מזונות, הרי שבאפשרותה לפנות לטריבונל המתאים לשם גבייתם. נזכיר בנדון את ההלכה הקובעת, כי הליכים מכוח פקודת בזיון בית משפט נחשבים להליכי אכיפה נוקשים, בעלי אופי מעין-פלילי, ועל כן השימוש בהם ייעשה במשורה, לאחר מיצוי של דרכי אכיפה שחומרתן פחותה (ראו </w:t>
      </w:r>
      <w:proofErr w:type="spellStart"/>
      <w:r>
        <w:rPr>
          <w:rFonts w:ascii="David" w:hAnsi="David" w:cs="David"/>
          <w:sz w:val="24"/>
          <w:szCs w:val="24"/>
          <w:rtl/>
        </w:rPr>
        <w:t>לענין</w:t>
      </w:r>
      <w:proofErr w:type="spellEnd"/>
      <w:r>
        <w:rPr>
          <w:rFonts w:ascii="David" w:hAnsi="David" w:cs="David"/>
          <w:sz w:val="24"/>
          <w:szCs w:val="24"/>
          <w:rtl/>
        </w:rPr>
        <w:t xml:space="preserve"> זה אחד מיני רבים – רע"א 2389/22 </w:t>
      </w:r>
      <w:r>
        <w:rPr>
          <w:rFonts w:ascii="David" w:hAnsi="David" w:cs="David"/>
          <w:b/>
          <w:bCs/>
          <w:sz w:val="24"/>
          <w:szCs w:val="24"/>
          <w:rtl/>
        </w:rPr>
        <w:t xml:space="preserve">חברת </w:t>
      </w:r>
      <w:proofErr w:type="spellStart"/>
      <w:r>
        <w:rPr>
          <w:rFonts w:ascii="David" w:hAnsi="David" w:cs="David"/>
          <w:b/>
          <w:bCs/>
          <w:sz w:val="24"/>
          <w:szCs w:val="24"/>
          <w:rtl/>
        </w:rPr>
        <w:t>פריימן</w:t>
      </w:r>
      <w:proofErr w:type="spellEnd"/>
      <w:r>
        <w:rPr>
          <w:rFonts w:ascii="David" w:hAnsi="David" w:cs="David"/>
          <w:b/>
          <w:bCs/>
          <w:sz w:val="24"/>
          <w:szCs w:val="24"/>
          <w:rtl/>
        </w:rPr>
        <w:t xml:space="preserve"> הפקות בע"מ נ' גל ביתר שירותי פרסום והפקות בע"מ</w:t>
      </w:r>
      <w:r>
        <w:rPr>
          <w:rFonts w:ascii="David" w:hAnsi="David" w:cs="David"/>
          <w:sz w:val="24"/>
          <w:szCs w:val="24"/>
          <w:rtl/>
        </w:rPr>
        <w:t xml:space="preserve"> (21.7.2022))" (פסקה 15). </w:t>
      </w:r>
    </w:p>
    <w:p w:rsidR="00D51B50" w:rsidRDefault="00D51B50" w:rsidP="00D51B50">
      <w:pPr>
        <w:pStyle w:val="ae"/>
        <w:spacing w:line="360" w:lineRule="auto"/>
        <w:jc w:val="both"/>
        <w:rPr>
          <w:rFonts w:ascii="David" w:hAnsi="David" w:cs="David"/>
          <w:sz w:val="24"/>
          <w:szCs w:val="24"/>
        </w:rPr>
      </w:pPr>
    </w:p>
    <w:p w:rsidR="00D51B50" w:rsidRDefault="00D51B50" w:rsidP="00D51B50">
      <w:pPr>
        <w:pStyle w:val="ae"/>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בנוסף, וכאן העיקר, ההחלטות נושא הבקשה ניתנו לעת שהצדדים עדיין גרו ביחד ונועדו להסדיר את ההתנהלות הכלכלית עד להפרדת המגורים. אלא שמתברר כי ההחלטה </w:t>
      </w:r>
      <w:proofErr w:type="spellStart"/>
      <w:r>
        <w:rPr>
          <w:rFonts w:ascii="David" w:hAnsi="David" w:cs="David"/>
          <w:sz w:val="24"/>
          <w:szCs w:val="24"/>
          <w:rtl/>
        </w:rPr>
        <w:t>בענין</w:t>
      </w:r>
      <w:proofErr w:type="spellEnd"/>
      <w:r>
        <w:rPr>
          <w:rFonts w:ascii="David" w:hAnsi="David" w:cs="David"/>
          <w:sz w:val="24"/>
          <w:szCs w:val="24"/>
          <w:rtl/>
        </w:rPr>
        <w:t xml:space="preserve"> חלוקת קצבאות ילד נכה בין הצדדים סייעה </w:t>
      </w:r>
      <w:r>
        <w:rPr>
          <w:rFonts w:ascii="David" w:hAnsi="David" w:cs="David" w:hint="cs"/>
          <w:sz w:val="24"/>
          <w:szCs w:val="24"/>
          <w:rtl/>
        </w:rPr>
        <w:t xml:space="preserve">לצדדים באופן חלקי בלבד, ומנגד </w:t>
      </w:r>
      <w:r>
        <w:rPr>
          <w:rFonts w:ascii="David" w:hAnsi="David" w:cs="David"/>
          <w:sz w:val="24"/>
          <w:szCs w:val="24"/>
          <w:rtl/>
        </w:rPr>
        <w:t>הביאה לשלל טענות הדדיות ולדברים ביטוי בהחלטה למזונות זמניים. כך או כך, כעת הצדדים הפרידו מגוריהם, וניתנה היום החלטה למזונות זמניים בבקשה לעיון מחדש שהגישה המבקשת, שקובעת כי קצבאות ילד נכה ישולמו ל</w:t>
      </w:r>
      <w:r>
        <w:rPr>
          <w:rFonts w:ascii="David" w:hAnsi="David" w:cs="David" w:hint="cs"/>
          <w:sz w:val="24"/>
          <w:szCs w:val="24"/>
          <w:rtl/>
        </w:rPr>
        <w:t>מבקשת,</w:t>
      </w:r>
      <w:r>
        <w:rPr>
          <w:rFonts w:ascii="David" w:hAnsi="David" w:cs="David"/>
          <w:sz w:val="24"/>
          <w:szCs w:val="24"/>
          <w:rtl/>
        </w:rPr>
        <w:t xml:space="preserve"> וניתנו הנחיות לגבי הקצאת החיובים בין הצדדים. מאחר ומטרת הליך לפי פקודת </w:t>
      </w:r>
      <w:proofErr w:type="spellStart"/>
      <w:r>
        <w:rPr>
          <w:rFonts w:ascii="David" w:hAnsi="David" w:cs="David"/>
          <w:sz w:val="24"/>
          <w:szCs w:val="24"/>
          <w:rtl/>
        </w:rPr>
        <w:t>הבזיון</w:t>
      </w:r>
      <w:proofErr w:type="spellEnd"/>
      <w:r>
        <w:rPr>
          <w:rFonts w:ascii="David" w:hAnsi="David" w:cs="David"/>
          <w:sz w:val="24"/>
          <w:szCs w:val="24"/>
          <w:rtl/>
        </w:rPr>
        <w:t xml:space="preserve"> היא להביא לאכיפת ההחלטה, ומשעה שההחלטות נושא הבקשה שונו</w:t>
      </w:r>
      <w:r>
        <w:rPr>
          <w:rFonts w:ascii="David" w:hAnsi="David" w:cs="David" w:hint="cs"/>
          <w:sz w:val="24"/>
          <w:szCs w:val="24"/>
          <w:rtl/>
        </w:rPr>
        <w:t xml:space="preserve"> בהחלטה למזנות זמניים מהיום</w:t>
      </w:r>
      <w:r>
        <w:rPr>
          <w:rFonts w:ascii="David" w:hAnsi="David" w:cs="David"/>
          <w:sz w:val="24"/>
          <w:szCs w:val="24"/>
          <w:rtl/>
        </w:rPr>
        <w:t xml:space="preserve">, הרי שאין מקום ותכלית עוד להתדיין אודות </w:t>
      </w:r>
      <w:r>
        <w:rPr>
          <w:rFonts w:ascii="David" w:hAnsi="David" w:cs="David" w:hint="cs"/>
          <w:sz w:val="24"/>
          <w:szCs w:val="24"/>
          <w:rtl/>
        </w:rPr>
        <w:t>ההפרות הנטענות</w:t>
      </w:r>
      <w:r>
        <w:rPr>
          <w:rFonts w:ascii="David" w:hAnsi="David" w:cs="David"/>
          <w:sz w:val="24"/>
          <w:szCs w:val="24"/>
          <w:rtl/>
        </w:rPr>
        <w:t>.</w:t>
      </w:r>
    </w:p>
    <w:p w:rsidR="00D51B50" w:rsidRDefault="00D51B50" w:rsidP="00D51B50">
      <w:pPr>
        <w:pStyle w:val="ae"/>
        <w:spacing w:line="360" w:lineRule="auto"/>
        <w:jc w:val="both"/>
        <w:rPr>
          <w:rFonts w:ascii="David" w:hAnsi="David" w:cs="David"/>
          <w:sz w:val="24"/>
          <w:szCs w:val="24"/>
        </w:rPr>
      </w:pPr>
    </w:p>
    <w:p w:rsidR="00D51B50" w:rsidRDefault="00D51B50" w:rsidP="00D51B50">
      <w:pPr>
        <w:pStyle w:val="ae"/>
        <w:numPr>
          <w:ilvl w:val="0"/>
          <w:numId w:val="1"/>
        </w:numPr>
        <w:spacing w:line="360" w:lineRule="auto"/>
        <w:jc w:val="both"/>
        <w:rPr>
          <w:rFonts w:ascii="David" w:hAnsi="David" w:cs="David"/>
          <w:sz w:val="24"/>
          <w:szCs w:val="24"/>
          <w:rtl/>
        </w:rPr>
      </w:pPr>
      <w:r>
        <w:rPr>
          <w:rFonts w:ascii="David" w:hAnsi="David" w:cs="David"/>
          <w:sz w:val="24"/>
          <w:szCs w:val="24"/>
          <w:rtl/>
        </w:rPr>
        <w:t>אין צו להוצאות בנסיבות העניין.</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ד' כסלו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05 דצמבר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574205718"/>
        </w:sdtPr>
        <w:sdtEndPr/>
        <w:sdtContent>
          <w:r w:rsidR="00382ECC">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EDB" w:rsidRDefault="00BD7EDB">
      <w:r>
        <w:separator/>
      </w:r>
    </w:p>
  </w:endnote>
  <w:endnote w:type="continuationSeparator" w:id="0">
    <w:p w:rsidR="00BD7EDB" w:rsidRDefault="00BD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EE5" w:rsidRDefault="00F46EE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46EE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46EE5">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EE5" w:rsidRDefault="00F46E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EDB" w:rsidRDefault="00BD7EDB">
      <w:r>
        <w:separator/>
      </w:r>
    </w:p>
  </w:footnote>
  <w:footnote w:type="continuationSeparator" w:id="0">
    <w:p w:rsidR="00BD7EDB" w:rsidRDefault="00BD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EE5" w:rsidRDefault="00F46EE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05 דצמבר 2024</w:t>
              </w:r>
            </w:p>
          </w:tc>
        </w:sdtContent>
      </w:sdt>
    </w:tr>
    <w:tr w:rsidR="002914D6">
      <w:trPr>
        <w:trHeight w:val="337"/>
        <w:jc w:val="center"/>
      </w:trPr>
      <w:tc>
        <w:tcPr>
          <w:tcW w:w="8721" w:type="dxa"/>
          <w:gridSpan w:val="2"/>
        </w:tcPr>
        <w:p w:rsidR="002914D6" w:rsidRDefault="00BD7EDB" w:rsidP="00382ECC">
          <w:pPr>
            <w:rPr>
              <w:b/>
              <w:bCs/>
              <w:noProof w:val="0"/>
              <w:sz w:val="26"/>
              <w:szCs w:val="26"/>
              <w:rtl/>
            </w:rPr>
          </w:pPr>
          <w:sdt>
            <w:sdtPr>
              <w:rPr>
                <w:rtl/>
              </w:rPr>
              <w:alias w:val="1170"/>
              <w:tag w:val="1170"/>
              <w:id w:val="632838173"/>
              <w:text w:multiLine="1"/>
            </w:sdtPr>
            <w:sdtEndPr/>
            <w:sdtContent>
              <w:proofErr w:type="spellStart"/>
              <w:r w:rsidR="00CC29C2">
                <w:rPr>
                  <w:b/>
                  <w:bCs/>
                  <w:noProof w:val="0"/>
                  <w:sz w:val="26"/>
                  <w:szCs w:val="26"/>
                  <w:rtl/>
                </w:rPr>
                <w:t>תלה"מ</w:t>
              </w:r>
              <w:proofErr w:type="spellEnd"/>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38495-07-24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382ECC">
                <w:rPr>
                  <w:rFonts w:hint="cs"/>
                  <w:b/>
                  <w:bCs/>
                  <w:noProof w:val="0"/>
                  <w:sz w:val="26"/>
                  <w:szCs w:val="26"/>
                  <w:rtl/>
                </w:rPr>
                <w:t>האם נגד האב</w:t>
              </w:r>
            </w:sdtContent>
          </w:sdt>
        </w:p>
        <w:p w:rsidR="002914D6" w:rsidRDefault="002914D6">
          <w:pPr>
            <w:rPr>
              <w:rtl/>
            </w:rPr>
          </w:pPr>
        </w:p>
        <w:p w:rsidR="002C0771" w:rsidRDefault="002C0771">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EE5" w:rsidRDefault="00F46E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401C3"/>
    <w:multiLevelType w:val="hybridMultilevel"/>
    <w:tmpl w:val="090ED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B38A7"/>
    <w:rsid w:val="000D1EE4"/>
    <w:rsid w:val="00110155"/>
    <w:rsid w:val="0014058F"/>
    <w:rsid w:val="0019474B"/>
    <w:rsid w:val="00273D47"/>
    <w:rsid w:val="002856D3"/>
    <w:rsid w:val="002914D6"/>
    <w:rsid w:val="002C0771"/>
    <w:rsid w:val="002F5307"/>
    <w:rsid w:val="00382ECC"/>
    <w:rsid w:val="003A0652"/>
    <w:rsid w:val="004F4787"/>
    <w:rsid w:val="00530E94"/>
    <w:rsid w:val="005E66BB"/>
    <w:rsid w:val="00822AA5"/>
    <w:rsid w:val="008E4143"/>
    <w:rsid w:val="00904FA7"/>
    <w:rsid w:val="00921E03"/>
    <w:rsid w:val="009A04C9"/>
    <w:rsid w:val="009D1711"/>
    <w:rsid w:val="00A7661B"/>
    <w:rsid w:val="00B234CE"/>
    <w:rsid w:val="00B31305"/>
    <w:rsid w:val="00BD7EDB"/>
    <w:rsid w:val="00CC29C2"/>
    <w:rsid w:val="00CE7F78"/>
    <w:rsid w:val="00D51B50"/>
    <w:rsid w:val="00DA714E"/>
    <w:rsid w:val="00E72C9F"/>
    <w:rsid w:val="00EC118E"/>
    <w:rsid w:val="00F46EE5"/>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D51B5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600372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AB1660505A44A98F67D1E2564D71C7"/>
        <w:category>
          <w:name w:val="כללי"/>
          <w:gallery w:val="placeholder"/>
        </w:category>
        <w:types>
          <w:type w:val="bbPlcHdr"/>
        </w:types>
        <w:behaviors>
          <w:behavior w:val="content"/>
        </w:behaviors>
        <w:guid w:val="{0AF3FFC1-2B35-40FC-8515-FEB667239627}"/>
      </w:docPartPr>
      <w:docPartBody>
        <w:p w:rsidR="00C76448" w:rsidRDefault="006610A7" w:rsidP="006610A7">
          <w:pPr>
            <w:pStyle w:val="90AB1660505A44A98F67D1E2564D71C7"/>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322"/>
    <w:rsid w:val="002702EC"/>
    <w:rsid w:val="002B550C"/>
    <w:rsid w:val="006610A7"/>
    <w:rsid w:val="00727502"/>
    <w:rsid w:val="007C3322"/>
    <w:rsid w:val="0082414A"/>
    <w:rsid w:val="00C477B2"/>
    <w:rsid w:val="00C7644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477B2"/>
    <w:rPr>
      <w:color w:val="808080"/>
    </w:rPr>
  </w:style>
  <w:style w:type="paragraph" w:customStyle="1" w:styleId="C94C99B5324448E4BC15A427D7E8442A">
    <w:name w:val="C94C99B5324448E4BC15A427D7E8442A"/>
    <w:rsid w:val="002702EC"/>
    <w:pPr>
      <w:bidi/>
      <w:spacing w:after="160" w:line="259" w:lineRule="auto"/>
    </w:pPr>
  </w:style>
  <w:style w:type="paragraph" w:customStyle="1" w:styleId="D226355B8FC143C4AE034FC61652350B">
    <w:name w:val="D226355B8FC143C4AE034FC61652350B"/>
    <w:rsid w:val="002702EC"/>
    <w:pPr>
      <w:bidi/>
      <w:spacing w:after="160" w:line="259" w:lineRule="auto"/>
    </w:pPr>
  </w:style>
  <w:style w:type="paragraph" w:customStyle="1" w:styleId="D2C72CE347744E45986B915AB65134DF">
    <w:name w:val="D2C72CE347744E45986B915AB65134DF"/>
    <w:rsid w:val="002702EC"/>
    <w:pPr>
      <w:bidi/>
      <w:spacing w:after="160" w:line="259" w:lineRule="auto"/>
    </w:pPr>
  </w:style>
  <w:style w:type="paragraph" w:customStyle="1" w:styleId="18E585568A3F4A16B6628F264767B915">
    <w:name w:val="18E585568A3F4A16B6628F264767B915"/>
    <w:rsid w:val="002702EC"/>
    <w:pPr>
      <w:bidi/>
      <w:spacing w:after="160" w:line="259" w:lineRule="auto"/>
    </w:pPr>
  </w:style>
  <w:style w:type="paragraph" w:customStyle="1" w:styleId="FC476BAFB4E74E7494F998D3C55775DF">
    <w:name w:val="FC476BAFB4E74E7494F998D3C55775DF"/>
    <w:rsid w:val="002702EC"/>
    <w:pPr>
      <w:bidi/>
      <w:spacing w:after="160" w:line="259" w:lineRule="auto"/>
    </w:pPr>
  </w:style>
  <w:style w:type="paragraph" w:customStyle="1" w:styleId="CA4CDE27E80742C8BD71EFFBE88F6CE8">
    <w:name w:val="CA4CDE27E80742C8BD71EFFBE88F6CE8"/>
    <w:rsid w:val="002702EC"/>
    <w:pPr>
      <w:bidi/>
      <w:spacing w:after="160" w:line="259" w:lineRule="auto"/>
    </w:pPr>
  </w:style>
  <w:style w:type="paragraph" w:customStyle="1" w:styleId="D226355B8FC143C4AE034FC61652350B1">
    <w:name w:val="D226355B8FC143C4AE034FC61652350B1"/>
    <w:rsid w:val="002702EC"/>
    <w:pPr>
      <w:bidi/>
      <w:spacing w:after="0" w:line="240" w:lineRule="auto"/>
    </w:pPr>
    <w:rPr>
      <w:rFonts w:ascii="Times New Roman" w:eastAsia="Times New Roman" w:hAnsi="Times New Roman" w:cs="David"/>
      <w:noProof/>
      <w:sz w:val="24"/>
      <w:szCs w:val="24"/>
    </w:rPr>
  </w:style>
  <w:style w:type="paragraph" w:customStyle="1" w:styleId="D2C72CE347744E45986B915AB65134DF1">
    <w:name w:val="D2C72CE347744E45986B915AB65134DF1"/>
    <w:rsid w:val="002702EC"/>
    <w:pPr>
      <w:bidi/>
      <w:spacing w:after="0" w:line="240" w:lineRule="auto"/>
    </w:pPr>
    <w:rPr>
      <w:rFonts w:ascii="Times New Roman" w:eastAsia="Times New Roman" w:hAnsi="Times New Roman" w:cs="David"/>
      <w:noProof/>
      <w:sz w:val="24"/>
      <w:szCs w:val="24"/>
    </w:rPr>
  </w:style>
  <w:style w:type="paragraph" w:customStyle="1" w:styleId="18E585568A3F4A16B6628F264767B9151">
    <w:name w:val="18E585568A3F4A16B6628F264767B9151"/>
    <w:rsid w:val="002702EC"/>
    <w:pPr>
      <w:bidi/>
      <w:spacing w:after="0" w:line="240" w:lineRule="auto"/>
    </w:pPr>
    <w:rPr>
      <w:rFonts w:ascii="Times New Roman" w:eastAsia="Times New Roman" w:hAnsi="Times New Roman" w:cs="David"/>
      <w:noProof/>
      <w:sz w:val="24"/>
      <w:szCs w:val="24"/>
    </w:rPr>
  </w:style>
  <w:style w:type="paragraph" w:customStyle="1" w:styleId="FC476BAFB4E74E7494F998D3C55775DF1">
    <w:name w:val="FC476BAFB4E74E7494F998D3C55775DF1"/>
    <w:rsid w:val="002702EC"/>
    <w:pPr>
      <w:bidi/>
      <w:spacing w:after="0" w:line="240" w:lineRule="auto"/>
    </w:pPr>
    <w:rPr>
      <w:rFonts w:ascii="Times New Roman" w:eastAsia="Times New Roman" w:hAnsi="Times New Roman" w:cs="David"/>
      <w:noProof/>
      <w:sz w:val="24"/>
      <w:szCs w:val="24"/>
    </w:rPr>
  </w:style>
  <w:style w:type="paragraph" w:customStyle="1" w:styleId="CA4CDE27E80742C8BD71EFFBE88F6CE81">
    <w:name w:val="CA4CDE27E80742C8BD71EFFBE88F6CE81"/>
    <w:rsid w:val="002702EC"/>
    <w:pPr>
      <w:bidi/>
      <w:spacing w:after="0" w:line="240" w:lineRule="auto"/>
    </w:pPr>
    <w:rPr>
      <w:rFonts w:ascii="Times New Roman" w:eastAsia="Times New Roman" w:hAnsi="Times New Roman" w:cs="David"/>
      <w:noProof/>
      <w:sz w:val="24"/>
      <w:szCs w:val="24"/>
    </w:rPr>
  </w:style>
  <w:style w:type="paragraph" w:customStyle="1" w:styleId="D226355B8FC143C4AE034FC61652350B2">
    <w:name w:val="D226355B8FC143C4AE034FC61652350B2"/>
    <w:rsid w:val="00C477B2"/>
    <w:pPr>
      <w:bidi/>
      <w:spacing w:after="0" w:line="240" w:lineRule="auto"/>
    </w:pPr>
    <w:rPr>
      <w:rFonts w:ascii="Times New Roman" w:eastAsia="Times New Roman" w:hAnsi="Times New Roman" w:cs="David"/>
      <w:noProof/>
      <w:sz w:val="24"/>
      <w:szCs w:val="24"/>
    </w:rPr>
  </w:style>
  <w:style w:type="paragraph" w:customStyle="1" w:styleId="D2C72CE347744E45986B915AB65134DF2">
    <w:name w:val="D2C72CE347744E45986B915AB65134DF2"/>
    <w:rsid w:val="00C477B2"/>
    <w:pPr>
      <w:bidi/>
      <w:spacing w:after="0" w:line="240" w:lineRule="auto"/>
    </w:pPr>
    <w:rPr>
      <w:rFonts w:ascii="Times New Roman" w:eastAsia="Times New Roman" w:hAnsi="Times New Roman" w:cs="David"/>
      <w:noProof/>
      <w:sz w:val="24"/>
      <w:szCs w:val="24"/>
    </w:rPr>
  </w:style>
  <w:style w:type="paragraph" w:customStyle="1" w:styleId="18E585568A3F4A16B6628F264767B9152">
    <w:name w:val="18E585568A3F4A16B6628F264767B9152"/>
    <w:rsid w:val="00C477B2"/>
    <w:pPr>
      <w:bidi/>
      <w:spacing w:after="0" w:line="240" w:lineRule="auto"/>
    </w:pPr>
    <w:rPr>
      <w:rFonts w:ascii="Times New Roman" w:eastAsia="Times New Roman" w:hAnsi="Times New Roman" w:cs="David"/>
      <w:noProof/>
      <w:sz w:val="24"/>
      <w:szCs w:val="24"/>
    </w:rPr>
  </w:style>
  <w:style w:type="paragraph" w:customStyle="1" w:styleId="FC476BAFB4E74E7494F998D3C55775DF2">
    <w:name w:val="FC476BAFB4E74E7494F998D3C55775DF2"/>
    <w:rsid w:val="00C477B2"/>
    <w:pPr>
      <w:bidi/>
      <w:spacing w:after="0" w:line="240" w:lineRule="auto"/>
    </w:pPr>
    <w:rPr>
      <w:rFonts w:ascii="Times New Roman" w:eastAsia="Times New Roman" w:hAnsi="Times New Roman" w:cs="David"/>
      <w:noProof/>
      <w:sz w:val="24"/>
      <w:szCs w:val="24"/>
    </w:rPr>
  </w:style>
  <w:style w:type="paragraph" w:customStyle="1" w:styleId="0A9EDF8C5C6D41F7828DC3A87770D3B2">
    <w:name w:val="0A9EDF8C5C6D41F7828DC3A87770D3B2"/>
    <w:rsid w:val="00C477B2"/>
    <w:pPr>
      <w:bidi/>
      <w:spacing w:after="0" w:line="240" w:lineRule="auto"/>
    </w:pPr>
    <w:rPr>
      <w:rFonts w:ascii="Times New Roman" w:eastAsia="Times New Roman" w:hAnsi="Times New Roman" w:cs="David"/>
      <w:noProof/>
      <w:sz w:val="24"/>
      <w:szCs w:val="24"/>
    </w:rPr>
  </w:style>
  <w:style w:type="paragraph" w:customStyle="1" w:styleId="90AB1660505A44A98F67D1E2564D71C7">
    <w:name w:val="90AB1660505A44A98F67D1E2564D71C7"/>
    <w:rsid w:val="006610A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732</Words>
  <Characters>3664</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2025-01-05T07:28:00Z</dcterms:created>
  <dcterms:modified xsi:type="dcterms:W3CDTF">2025-01-05T07:28:00Z</dcterms:modified>
</cp:coreProperties>
</file>